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805AC9" w:rsidRDefault="006F2AA2" w:rsidP="006F2AA2">
      <w:r w:rsidRPr="00805AC9">
        <w:t>№</w:t>
      </w:r>
      <w:r>
        <w:t>1</w:t>
      </w:r>
      <w:r w:rsidRPr="00805AC9">
        <w:t xml:space="preserve"> 201</w:t>
      </w:r>
      <w:r w:rsidR="008D49FF">
        <w:t>7</w:t>
      </w:r>
    </w:p>
    <w:p w:rsidR="006F2AA2" w:rsidRPr="00805AC9" w:rsidRDefault="006F2AA2" w:rsidP="006F2AA2"/>
    <w:p w:rsidR="006F2AA2" w:rsidRDefault="006F2AA2" w:rsidP="006F2AA2">
      <w:r w:rsidRPr="00507025">
        <w:rPr>
          <w:b/>
        </w:rPr>
        <w:t>ПРИРОДА</w:t>
      </w:r>
    </w:p>
    <w:p w:rsidR="006F2AA2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Общие вопросы природопользования </w:t>
      </w:r>
    </w:p>
    <w:p w:rsidR="00781EDB" w:rsidRDefault="00781EDB" w:rsidP="00781EDB"/>
    <w:p w:rsidR="00781EDB" w:rsidRPr="00781EDB" w:rsidRDefault="00781EDB" w:rsidP="00781EDB">
      <w:pPr>
        <w:rPr>
          <w:b/>
        </w:rPr>
      </w:pPr>
      <w:r w:rsidRPr="00781EDB">
        <w:rPr>
          <w:b/>
        </w:rPr>
        <w:t>Информационные технологии – инфраструктура «зеленой» экономики</w:t>
      </w:r>
    </w:p>
    <w:p w:rsidR="00781EDB" w:rsidRPr="00781EDB" w:rsidRDefault="00781EDB" w:rsidP="00781EDB">
      <w:r w:rsidRPr="00781EDB">
        <w:t>О.И. Гассиева</w:t>
      </w:r>
      <w:r w:rsidRPr="00781EDB">
        <w:rPr>
          <w:vertAlign w:val="superscript"/>
        </w:rPr>
        <w:t>1</w:t>
      </w:r>
      <w:r w:rsidRPr="00781EDB">
        <w:t>, к.э.н., доцент, И.К. Хузмиев</w:t>
      </w:r>
      <w:r w:rsidRPr="00781EDB">
        <w:rPr>
          <w:vertAlign w:val="superscript"/>
        </w:rPr>
        <w:t>1</w:t>
      </w:r>
      <w:r w:rsidRPr="00781EDB">
        <w:t>, д.э.н., проф., А.В. Шевчук</w:t>
      </w:r>
      <w:r w:rsidRPr="00781EDB">
        <w:rPr>
          <w:vertAlign w:val="superscript"/>
        </w:rPr>
        <w:t>2,3</w:t>
      </w:r>
      <w:r w:rsidRPr="00781EDB">
        <w:t>, д.э.н., проф.</w:t>
      </w:r>
    </w:p>
    <w:p w:rsidR="00781EDB" w:rsidRPr="00781EDB" w:rsidRDefault="00781EDB" w:rsidP="00781EDB">
      <w:r w:rsidRPr="00781EDB">
        <w:rPr>
          <w:vertAlign w:val="superscript"/>
        </w:rPr>
        <w:t>1</w:t>
      </w:r>
      <w:r w:rsidRPr="00781EDB">
        <w:t>Северокавказского горно-металлургический институт, г. Владикавказ</w:t>
      </w:r>
    </w:p>
    <w:p w:rsidR="00781EDB" w:rsidRPr="00781EDB" w:rsidRDefault="00781EDB" w:rsidP="00781EDB">
      <w:r w:rsidRPr="00781EDB">
        <w:rPr>
          <w:vertAlign w:val="superscript"/>
        </w:rPr>
        <w:t>2</w:t>
      </w:r>
      <w:r w:rsidRPr="00781EDB">
        <w:t>Совет по изучению производительных сил ВАВТ Минэкономразвития России</w:t>
      </w:r>
    </w:p>
    <w:p w:rsidR="00781EDB" w:rsidRPr="00781EDB" w:rsidRDefault="00781EDB" w:rsidP="00781EDB">
      <w:r w:rsidRPr="00781EDB">
        <w:rPr>
          <w:vertAlign w:val="superscript"/>
        </w:rPr>
        <w:t>3</w:t>
      </w:r>
      <w:r w:rsidRPr="00781EDB">
        <w:t>Президиум Российской экологической академии</w:t>
      </w:r>
    </w:p>
    <w:p w:rsidR="00781EDB" w:rsidRPr="00781EDB" w:rsidRDefault="00781EDB" w:rsidP="00781EDB">
      <w:r w:rsidRPr="00781EDB">
        <w:t>Будущее жизнеустройство будет опираться на экономику, основанную на сетевых децент</w:t>
      </w:r>
      <w:r>
        <w:t>рализованных ло</w:t>
      </w:r>
      <w:r w:rsidRPr="00781EDB">
        <w:t>кальных мало затратных технологиях. Инфраструктура сети во многом определяется коммуникациями между</w:t>
      </w:r>
      <w:r>
        <w:t xml:space="preserve"> </w:t>
      </w:r>
      <w:r w:rsidRPr="00781EDB">
        <w:t>внешней средой и ее внутренними элементами, основой которых являются</w:t>
      </w:r>
      <w:r>
        <w:t xml:space="preserve"> информационные технологии. Воз</w:t>
      </w:r>
      <w:r w:rsidRPr="00781EDB">
        <w:t>никающая сетевая парадигма развития общества требует развития сетевых систем мониторинга, управления и</w:t>
      </w:r>
      <w:r>
        <w:t xml:space="preserve"> </w:t>
      </w:r>
      <w:r w:rsidRPr="00781EDB">
        <w:t>принятия решения по примеру сотовой связи и интернета. В этой связи инф</w:t>
      </w:r>
      <w:r>
        <w:t>ормационные технологии становят</w:t>
      </w:r>
      <w:r w:rsidRPr="00781EDB">
        <w:t>ся главной инфраструктурой наступающего нового технологического уклада жизнеустройства.</w:t>
      </w:r>
    </w:p>
    <w:p w:rsidR="006F2AA2" w:rsidRPr="00781EDB" w:rsidRDefault="00781EDB" w:rsidP="00781EDB">
      <w:r w:rsidRPr="00B0784C">
        <w:t xml:space="preserve">Ключевые слова: </w:t>
      </w:r>
      <w:r w:rsidRPr="00781EDB">
        <w:t>инфраструктура, сетевые системы, устойчивое развитие</w:t>
      </w:r>
      <w:r>
        <w:t>, линейное программирование, зе</w:t>
      </w:r>
      <w:r w:rsidRPr="00781EDB">
        <w:t>леная экономика.</w:t>
      </w:r>
    </w:p>
    <w:p w:rsidR="00781EDB" w:rsidRDefault="00781EDB" w:rsidP="006F2AA2"/>
    <w:p w:rsid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Минеральные ресурсы</w:t>
      </w:r>
    </w:p>
    <w:p w:rsidR="00781EDB" w:rsidRDefault="00781EDB" w:rsidP="00781EDB"/>
    <w:p w:rsidR="00781EDB" w:rsidRPr="00781EDB" w:rsidRDefault="00781EDB" w:rsidP="00781EDB">
      <w:pPr>
        <w:rPr>
          <w:b/>
        </w:rPr>
      </w:pPr>
      <w:r w:rsidRPr="00781EDB">
        <w:rPr>
          <w:b/>
        </w:rPr>
        <w:t>Подземные воды в водных ресурсах и водном балансе бассейна р. Днепра</w:t>
      </w:r>
    </w:p>
    <w:p w:rsidR="00781EDB" w:rsidRPr="00781EDB" w:rsidRDefault="00781EDB" w:rsidP="00781EDB">
      <w:r w:rsidRPr="00781EDB">
        <w:t>М.М. Черепанский</w:t>
      </w:r>
      <w:r w:rsidRPr="00B0784C">
        <w:rPr>
          <w:vertAlign w:val="superscript"/>
        </w:rPr>
        <w:t>1</w:t>
      </w:r>
      <w:r w:rsidRPr="00781EDB">
        <w:t>, д.г.-м.н., О.А. Каримова</w:t>
      </w:r>
      <w:r w:rsidRPr="00B0784C">
        <w:rPr>
          <w:vertAlign w:val="superscript"/>
        </w:rPr>
        <w:t>2</w:t>
      </w:r>
      <w:r w:rsidRPr="00781EDB">
        <w:t>, к.г.-м.н, А.К. Карабанов</w:t>
      </w:r>
      <w:r w:rsidRPr="00B0784C">
        <w:rPr>
          <w:vertAlign w:val="superscript"/>
        </w:rPr>
        <w:t>3</w:t>
      </w:r>
      <w:r w:rsidRPr="00781EDB">
        <w:t>, академик НАН Беларуси,</w:t>
      </w:r>
      <w:r w:rsidR="00B0784C">
        <w:t xml:space="preserve"> </w:t>
      </w:r>
      <w:r w:rsidRPr="00781EDB">
        <w:t>Н.М. Томина</w:t>
      </w:r>
      <w:r w:rsidRPr="00B0784C">
        <w:rPr>
          <w:vertAlign w:val="superscript"/>
        </w:rPr>
        <w:t>3</w:t>
      </w:r>
      <w:r w:rsidRPr="00781EDB">
        <w:t xml:space="preserve">, </w:t>
      </w:r>
      <w:r w:rsidRPr="00B0784C">
        <w:rPr>
          <w:bdr w:val="single" w:sz="4" w:space="0" w:color="auto"/>
        </w:rPr>
        <w:t>И.С. Зекцер</w:t>
      </w:r>
      <w:r w:rsidRPr="00B0784C">
        <w:rPr>
          <w:bdr w:val="single" w:sz="4" w:space="0" w:color="auto"/>
          <w:vertAlign w:val="superscript"/>
        </w:rPr>
        <w:t>4</w:t>
      </w:r>
      <w:r w:rsidRPr="00781EDB">
        <w:t>, д.г.-м.н., проф.</w:t>
      </w:r>
    </w:p>
    <w:p w:rsidR="00781EDB" w:rsidRPr="00781EDB" w:rsidRDefault="00B0784C" w:rsidP="00781EDB">
      <w:r w:rsidRPr="00B0784C">
        <w:rPr>
          <w:vertAlign w:val="superscript"/>
        </w:rPr>
        <w:t>1</w:t>
      </w:r>
      <w:r w:rsidR="00781EDB" w:rsidRPr="00781EDB">
        <w:t>Российский геологоразведочный университет им. С. Орджоникидзе</w:t>
      </w:r>
    </w:p>
    <w:p w:rsidR="00781EDB" w:rsidRPr="00781EDB" w:rsidRDefault="00B0784C" w:rsidP="00781EDB">
      <w:r w:rsidRPr="00B0784C">
        <w:rPr>
          <w:vertAlign w:val="superscript"/>
        </w:rPr>
        <w:t>2</w:t>
      </w:r>
      <w:r w:rsidR="00781EDB" w:rsidRPr="00781EDB">
        <w:t>ФГБУ «Гидроспецгеология»</w:t>
      </w:r>
    </w:p>
    <w:p w:rsidR="00781EDB" w:rsidRPr="00781EDB" w:rsidRDefault="00B0784C" w:rsidP="00781EDB">
      <w:r w:rsidRPr="00B0784C">
        <w:rPr>
          <w:vertAlign w:val="superscript"/>
        </w:rPr>
        <w:t>3</w:t>
      </w:r>
      <w:r w:rsidR="00781EDB" w:rsidRPr="00781EDB">
        <w:t>Институт природопользования НАН Республики Беларусь</w:t>
      </w:r>
    </w:p>
    <w:p w:rsidR="00781EDB" w:rsidRPr="00781EDB" w:rsidRDefault="00B0784C" w:rsidP="00781EDB">
      <w:r w:rsidRPr="00B0784C">
        <w:rPr>
          <w:vertAlign w:val="superscript"/>
        </w:rPr>
        <w:t>4</w:t>
      </w:r>
      <w:r w:rsidR="00781EDB" w:rsidRPr="00781EDB">
        <w:t>Институт водных проблем РАН</w:t>
      </w:r>
    </w:p>
    <w:p w:rsidR="00781EDB" w:rsidRPr="00781EDB" w:rsidRDefault="00781EDB" w:rsidP="00781EDB">
      <w:r w:rsidRPr="00781EDB">
        <w:t>В статье рассматриваются вопросы оценки роли подземного стока в во</w:t>
      </w:r>
      <w:r w:rsidR="00B0784C">
        <w:t>дных ресурсах белорусской и рос</w:t>
      </w:r>
      <w:r w:rsidRPr="00781EDB">
        <w:t>сийской части бассейна р. Днепра в пределах Московского артезианского б</w:t>
      </w:r>
      <w:r w:rsidR="00B0784C">
        <w:t>ассейна. Приведены природно-кли</w:t>
      </w:r>
      <w:r w:rsidRPr="00781EDB">
        <w:t>матические, гидрологические и геолого-гидрогеологические условия бассейна р. Днепра. Дана характеристика</w:t>
      </w:r>
      <w:r w:rsidR="00B0784C">
        <w:t xml:space="preserve"> </w:t>
      </w:r>
      <w:r w:rsidRPr="00781EDB">
        <w:t>основных водоносных горизонтов в пределах Российской Федерации и Рес</w:t>
      </w:r>
      <w:r w:rsidR="00B0784C">
        <w:t>публики Беларусь. Выполнено рай</w:t>
      </w:r>
      <w:r w:rsidRPr="00781EDB">
        <w:t xml:space="preserve">онирование территории с выделением основных водоносных комплексов, </w:t>
      </w:r>
      <w:r w:rsidR="00B0784C">
        <w:t>принимающих участие в формирова</w:t>
      </w:r>
      <w:r w:rsidRPr="00781EDB">
        <w:t>нии подземного стока. Предложен усовершенствованный методологический подход к оценке роли подземных</w:t>
      </w:r>
      <w:r w:rsidR="00B0784C">
        <w:t xml:space="preserve"> </w:t>
      </w:r>
      <w:r w:rsidRPr="00781EDB">
        <w:t>вод в водных ресурсах и водном балансе как компонента общего речного стока с учетом новой гидрологической</w:t>
      </w:r>
      <w:r w:rsidR="00B0784C">
        <w:t xml:space="preserve"> </w:t>
      </w:r>
      <w:r w:rsidRPr="00781EDB">
        <w:t>и гидрогеологической информации, в условиях изменяющегося климата и с о</w:t>
      </w:r>
      <w:r w:rsidR="00B0784C">
        <w:t>ценкой изменения подземного сто</w:t>
      </w:r>
      <w:r w:rsidRPr="00781EDB">
        <w:t>ка разгружающегося в реки при отборе подземных вод.</w:t>
      </w:r>
    </w:p>
    <w:p w:rsidR="00781EDB" w:rsidRPr="00781EDB" w:rsidRDefault="00781EDB" w:rsidP="00781EDB">
      <w:r w:rsidRPr="00781EDB">
        <w:t>Ключевые слова: подземный сток, речной сток, модуль подземного стока, коэффициент подземного питания</w:t>
      </w:r>
      <w:r w:rsidR="00B0784C">
        <w:t xml:space="preserve"> </w:t>
      </w:r>
      <w:r w:rsidRPr="00781EDB">
        <w:t>рек, водный баланс, влияние отбора подземных вод.</w:t>
      </w:r>
    </w:p>
    <w:p w:rsidR="00781EDB" w:rsidRDefault="00781EDB" w:rsidP="00781EDB">
      <w:pPr>
        <w:pStyle w:val="a3"/>
        <w:rPr>
          <w:i/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Водные ресурсы</w:t>
      </w:r>
    </w:p>
    <w:p w:rsidR="00B0784C" w:rsidRDefault="00B0784C" w:rsidP="00781EDB">
      <w:pPr>
        <w:pStyle w:val="a3"/>
        <w:rPr>
          <w:szCs w:val="24"/>
        </w:rPr>
      </w:pPr>
    </w:p>
    <w:p w:rsidR="00B0784C" w:rsidRPr="00B0784C" w:rsidRDefault="00B0784C" w:rsidP="00B0784C">
      <w:pPr>
        <w:rPr>
          <w:b/>
        </w:rPr>
      </w:pPr>
      <w:r w:rsidRPr="00B0784C">
        <w:rPr>
          <w:b/>
        </w:rPr>
        <w:t>Комплексный подход к обработке судовых отходов для обеспечения экологической безопасности речного и морского флота</w:t>
      </w:r>
    </w:p>
    <w:p w:rsidR="00B0784C" w:rsidRPr="00B0784C" w:rsidRDefault="00B0784C" w:rsidP="00B0784C">
      <w:r w:rsidRPr="00B0784C">
        <w:t>В.К. Новиков, д.т.н., проф., И.А. Минаева, к.т.н., М.В. Романова</w:t>
      </w:r>
    </w:p>
    <w:p w:rsidR="00B0784C" w:rsidRPr="00B0784C" w:rsidRDefault="00B0784C" w:rsidP="00B0784C">
      <w:r w:rsidRPr="00B0784C">
        <w:t>Московская государственная академия водного транспорта</w:t>
      </w:r>
    </w:p>
    <w:p w:rsidR="00B0784C" w:rsidRPr="00B0784C" w:rsidRDefault="00B0784C" w:rsidP="00B0784C">
      <w:r w:rsidRPr="00B0784C">
        <w:lastRenderedPageBreak/>
        <w:t>В статье на основе системного анализа изложено состояние загрязнения водной среды сточными водами,</w:t>
      </w:r>
      <w:r>
        <w:t xml:space="preserve"> </w:t>
      </w:r>
      <w:r w:rsidRPr="00B0784C">
        <w:t>нефтесодержащими подсланевыми водами и мусором, образующимися при э</w:t>
      </w:r>
      <w:r>
        <w:t>ксплуатации судов водного транс</w:t>
      </w:r>
      <w:r w:rsidRPr="00B0784C">
        <w:t>порта. Приведена правовая база по охране водной среды на международном и национальном уровнях. Проведен</w:t>
      </w:r>
      <w:r>
        <w:t xml:space="preserve"> </w:t>
      </w:r>
      <w:r w:rsidRPr="00B0784C">
        <w:t>сравнительный анализ существующей структуры системы обращения с этими судовыми отходами, технологий</w:t>
      </w:r>
      <w:r>
        <w:t xml:space="preserve"> </w:t>
      </w:r>
      <w:r w:rsidRPr="00B0784C">
        <w:t>и технических средств, используемых для их переработки, показаны недостатки, не позволяющие обеспечить</w:t>
      </w:r>
      <w:r>
        <w:t xml:space="preserve"> </w:t>
      </w:r>
      <w:r w:rsidRPr="00B0784C">
        <w:t>экологическую безопасность функционирования судов на уровне международных и национальных требований.</w:t>
      </w:r>
      <w:r>
        <w:t xml:space="preserve"> </w:t>
      </w:r>
      <w:r w:rsidRPr="00B0784C">
        <w:t>По результатам анализа сформированы предложения о возможных напр</w:t>
      </w:r>
      <w:r>
        <w:t>авлениях совершенствования суще</w:t>
      </w:r>
      <w:r w:rsidRPr="00B0784C">
        <w:t>ствующей системы обращения с судовыми отходами, требующие проведения в д</w:t>
      </w:r>
      <w:r>
        <w:t>альнейшем специальных ис</w:t>
      </w:r>
      <w:r w:rsidRPr="00B0784C">
        <w:t>следований.</w:t>
      </w:r>
    </w:p>
    <w:p w:rsidR="00B0784C" w:rsidRPr="00B0784C" w:rsidRDefault="00B0784C" w:rsidP="00B0784C">
      <w:r w:rsidRPr="00B0784C">
        <w:t>Ключевые слова: водная среда, водный транспорт, загрязнение, природоохранное оборудование.</w:t>
      </w:r>
    </w:p>
    <w:p w:rsidR="00B0784C" w:rsidRPr="00781EDB" w:rsidRDefault="00B0784C" w:rsidP="00781EDB">
      <w:pPr>
        <w:pStyle w:val="a3"/>
        <w:rPr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Земельные ресурсы и почвы</w:t>
      </w:r>
    </w:p>
    <w:p w:rsidR="00B0784C" w:rsidRDefault="00B0784C" w:rsidP="00781EDB">
      <w:pPr>
        <w:pStyle w:val="a3"/>
        <w:rPr>
          <w:iCs/>
          <w:szCs w:val="24"/>
        </w:rPr>
      </w:pPr>
    </w:p>
    <w:p w:rsidR="00B0784C" w:rsidRPr="00B0784C" w:rsidRDefault="00B0784C" w:rsidP="00B0784C">
      <w:pPr>
        <w:rPr>
          <w:b/>
        </w:rPr>
      </w:pPr>
      <w:r w:rsidRPr="00B0784C">
        <w:rPr>
          <w:b/>
        </w:rPr>
        <w:t>Анализ динамики изменения кадастровой стоимости земельных участков на территории Москвы</w:t>
      </w:r>
    </w:p>
    <w:p w:rsidR="00B0784C" w:rsidRPr="00B0784C" w:rsidRDefault="00B0784C" w:rsidP="00B0784C">
      <w:r w:rsidRPr="00B0784C">
        <w:t>О.В. Миклашевская, к.т.н., И.С. Мишина, А.П. Сизов, д.т.н., проф.</w:t>
      </w:r>
    </w:p>
    <w:p w:rsidR="00B0784C" w:rsidRPr="00B0784C" w:rsidRDefault="00B0784C" w:rsidP="00B0784C">
      <w:r w:rsidRPr="00B0784C">
        <w:t>Московский государственный университет геодезии и картографии» (МИИГАиК)</w:t>
      </w:r>
    </w:p>
    <w:p w:rsidR="00B0784C" w:rsidRPr="00B0784C" w:rsidRDefault="00B0784C" w:rsidP="00B0784C">
      <w:r w:rsidRPr="00B0784C">
        <w:t>Рассмотрена динамика изменения кадастровой стоимости объектов недвижимости на территории Москвы,</w:t>
      </w:r>
      <w:r>
        <w:t xml:space="preserve"> </w:t>
      </w:r>
      <w:r w:rsidRPr="00B0784C">
        <w:t>введено понятие величины скорости изменения удельного показателя кадас</w:t>
      </w:r>
      <w:r>
        <w:t>тровой стоимости земель, количе</w:t>
      </w:r>
      <w:r w:rsidRPr="00B0784C">
        <w:t>ственно проиллюстрирован его рост на территории города с учетом присоедин</w:t>
      </w:r>
      <w:r>
        <w:t>ения в 01.07.2012 территорий Мо</w:t>
      </w:r>
      <w:r w:rsidRPr="00B0784C">
        <w:t>сковской области. Рассмотрены ключевые нормативно-правовые документы, регламентирующие установление</w:t>
      </w:r>
      <w:r w:rsidR="000469A5">
        <w:t xml:space="preserve"> </w:t>
      </w:r>
      <w:r w:rsidRPr="00B0784C">
        <w:t>кадастровой стоимости на территории Москвы.</w:t>
      </w:r>
    </w:p>
    <w:p w:rsidR="00B0784C" w:rsidRPr="00B0784C" w:rsidRDefault="00B0784C" w:rsidP="00B0784C">
      <w:r w:rsidRPr="00B0784C">
        <w:t>Ключевые слова: кадастровая стоимость, налог на недвижимое имуществ</w:t>
      </w:r>
      <w:r w:rsidR="000469A5">
        <w:t>о, удельный показатель кадастро</w:t>
      </w:r>
      <w:r w:rsidRPr="00B0784C">
        <w:t xml:space="preserve">вой стоимости, кадастровая оценка, мораторий на проведение кадастровой оценки, величина </w:t>
      </w:r>
      <w:r w:rsidR="000469A5">
        <w:t>скорости измене</w:t>
      </w:r>
      <w:r w:rsidRPr="00B0784C">
        <w:t>ния удельного показателя кадастровой стоимости земель.</w:t>
      </w:r>
    </w:p>
    <w:p w:rsidR="00B0784C" w:rsidRPr="00B0784C" w:rsidRDefault="00B0784C" w:rsidP="00B0784C">
      <w:pPr>
        <w:pStyle w:val="a3"/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Лесные ресурсы</w:t>
      </w:r>
    </w:p>
    <w:p w:rsidR="00856DE9" w:rsidRPr="00856DE9" w:rsidRDefault="00856DE9" w:rsidP="00781EDB">
      <w:pPr>
        <w:pStyle w:val="a3"/>
        <w:rPr>
          <w:iCs/>
          <w:szCs w:val="24"/>
        </w:rPr>
      </w:pPr>
    </w:p>
    <w:p w:rsidR="00856DE9" w:rsidRPr="00856DE9" w:rsidRDefault="00856DE9" w:rsidP="00856DE9">
      <w:pPr>
        <w:rPr>
          <w:b/>
        </w:rPr>
      </w:pPr>
      <w:r w:rsidRPr="00856DE9">
        <w:rPr>
          <w:b/>
        </w:rPr>
        <w:t>О глобальном учёте мировых лесов</w:t>
      </w:r>
    </w:p>
    <w:p w:rsidR="00856DE9" w:rsidRPr="00856DE9" w:rsidRDefault="00856DE9" w:rsidP="00856DE9">
      <w:r w:rsidRPr="00856DE9">
        <w:t>А.И. Писаренко, академик РАН, Российское общество лесоводов,</w:t>
      </w:r>
      <w:r>
        <w:t xml:space="preserve"> </w:t>
      </w:r>
      <w:r w:rsidRPr="00856DE9">
        <w:t>В.В. Страхов, д.с.-х.н., ВНИИЛМ Рослесхоза</w:t>
      </w:r>
    </w:p>
    <w:p w:rsidR="00856DE9" w:rsidRPr="00856DE9" w:rsidRDefault="00856DE9" w:rsidP="00856DE9">
      <w:r w:rsidRPr="00856DE9">
        <w:t>В статье рассмотрена история глобального учета лесов, осуществляемого ФАО, начиная с 1946 г. В статье</w:t>
      </w:r>
      <w:r>
        <w:t xml:space="preserve"> </w:t>
      </w:r>
      <w:r w:rsidRPr="00856DE9">
        <w:t xml:space="preserve">содержится исчерпывающий анализ решений ФАО по поддержанию и </w:t>
      </w:r>
      <w:r>
        <w:t>усилению потенциала ФАО для пре</w:t>
      </w:r>
      <w:r w:rsidRPr="00856DE9">
        <w:t>доставления на непрерывной основе информации о положении дел в области лесных ресурсов во всем мире.</w:t>
      </w:r>
      <w:r>
        <w:t xml:space="preserve"> </w:t>
      </w:r>
      <w:r w:rsidRPr="00856DE9">
        <w:t>Авторы статьи считают, что дальнейшее улучшение системы ГОЛР, созданной ФАО, связано с повышением</w:t>
      </w:r>
      <w:r>
        <w:t xml:space="preserve"> </w:t>
      </w:r>
      <w:r w:rsidRPr="00856DE9">
        <w:t>качества и уточнением количества предоставляемой странами информации</w:t>
      </w:r>
      <w:r>
        <w:t>, например, путем внедрения еди</w:t>
      </w:r>
      <w:r w:rsidRPr="00856DE9">
        <w:t>нообразных систем мониторинга и оценки национальных лесных ресурсов. Целесообразно повысить частоту</w:t>
      </w:r>
      <w:r>
        <w:t xml:space="preserve"> </w:t>
      </w:r>
      <w:r w:rsidRPr="00856DE9">
        <w:t>обновления информации по ряду актуальных параметров (площадь лесов, запас леса на корню, запас углерода в</w:t>
      </w:r>
      <w:r>
        <w:t xml:space="preserve"> </w:t>
      </w:r>
      <w:r w:rsidRPr="00856DE9">
        <w:t>лесах и т. д.). Перечень информации, требующей практически ежегодного обн</w:t>
      </w:r>
      <w:r>
        <w:t>овления, должен включать: 1) ин</w:t>
      </w:r>
      <w:r w:rsidRPr="00856DE9">
        <w:t>формацию относительно темпов обезлесения и деградации национальных лесов; 2) динамику запасов лесного</w:t>
      </w:r>
      <w:r>
        <w:t xml:space="preserve"> </w:t>
      </w:r>
      <w:r w:rsidRPr="00856DE9">
        <w:t>углерода; 3) динамику лесопосадок на землях, не имевших лесного покрова; 4) оценку роли лесов в защите почв</w:t>
      </w:r>
      <w:r>
        <w:t xml:space="preserve"> </w:t>
      </w:r>
      <w:r w:rsidRPr="00856DE9">
        <w:t>и водных ресурсов и обеспечении средств к существованию.</w:t>
      </w:r>
    </w:p>
    <w:p w:rsidR="00856DE9" w:rsidRPr="00856DE9" w:rsidRDefault="00856DE9" w:rsidP="00856DE9">
      <w:r w:rsidRPr="00856DE9">
        <w:t>Ключевые слова: леса, лесные ресурсы, глобальный учет лесов, глобальна</w:t>
      </w:r>
      <w:r>
        <w:t>я оценка лесных ресурсов, нацио</w:t>
      </w:r>
      <w:r w:rsidRPr="00856DE9">
        <w:t>нальные лесные ресурсы, ФАО.</w:t>
      </w:r>
    </w:p>
    <w:p w:rsidR="00856DE9" w:rsidRPr="00856DE9" w:rsidRDefault="00856DE9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Биологические ресурсы суши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9C665B">
      <w:pPr>
        <w:rPr>
          <w:b/>
        </w:rPr>
      </w:pPr>
      <w:r w:rsidRPr="009C665B">
        <w:rPr>
          <w:b/>
        </w:rPr>
        <w:t>Использование представителей флоры внутреннегорного Дагестана в качестве пищевых растений</w:t>
      </w:r>
    </w:p>
    <w:p w:rsidR="009C665B" w:rsidRPr="009C665B" w:rsidRDefault="009C665B" w:rsidP="009C665B">
      <w:r w:rsidRPr="009C665B">
        <w:t>С.О. Омарова, к.б.н., З.М. Мансурова</w:t>
      </w:r>
    </w:p>
    <w:p w:rsidR="009C665B" w:rsidRPr="009C665B" w:rsidRDefault="009C665B" w:rsidP="009C665B">
      <w:r w:rsidRPr="009C665B">
        <w:t>Дагестанский государственный университет, Махачкала</w:t>
      </w:r>
    </w:p>
    <w:p w:rsidR="009C665B" w:rsidRPr="009C665B" w:rsidRDefault="009C665B" w:rsidP="009C665B">
      <w:r w:rsidRPr="009C665B">
        <w:t>Пищевые дикорастущие виды в Дагестане традиционно широко используются в пищу как в свежем виде, так и</w:t>
      </w:r>
      <w:r>
        <w:t xml:space="preserve"> </w:t>
      </w:r>
      <w:r w:rsidRPr="009C665B">
        <w:t>продуктах переработки. К сожалению, в настоящее время многие съедобные растения используются слабо, перечень</w:t>
      </w:r>
      <w:r>
        <w:t xml:space="preserve"> </w:t>
      </w:r>
      <w:r w:rsidRPr="009C665B">
        <w:t>их довольно ограничен. Утрачиваются и старинные рецепты переработки пищевых растений, от чего национальная</w:t>
      </w:r>
      <w:r>
        <w:t xml:space="preserve"> </w:t>
      </w:r>
      <w:r w:rsidRPr="009C665B">
        <w:t>кухня теряет традиционный колорит. Данная работа посвящена изучению пищев</w:t>
      </w:r>
      <w:r>
        <w:t>ых растений внутреннегорного Да</w:t>
      </w:r>
      <w:r w:rsidRPr="009C665B">
        <w:t>гестана.</w:t>
      </w:r>
    </w:p>
    <w:p w:rsidR="009C665B" w:rsidRPr="009C665B" w:rsidRDefault="009C665B" w:rsidP="009C665B">
      <w:r w:rsidRPr="009C665B">
        <w:t>Ключевые слова: флора внутреннегорного Дагестана, пищевые растения, наци</w:t>
      </w:r>
      <w:r>
        <w:t>ональная кухня, рецепты, класси</w:t>
      </w:r>
      <w:r w:rsidRPr="009C665B">
        <w:t>фикация пищевых растений.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Климатические ресурсы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9C665B">
      <w:pPr>
        <w:rPr>
          <w:b/>
        </w:rPr>
      </w:pPr>
      <w:r w:rsidRPr="009C665B">
        <w:rPr>
          <w:b/>
        </w:rPr>
        <w:t>Объективная классификация явлений Эль-Ниньо</w:t>
      </w:r>
    </w:p>
    <w:p w:rsidR="009C665B" w:rsidRPr="009C665B" w:rsidRDefault="009C665B" w:rsidP="009C665B">
      <w:r w:rsidRPr="009C665B">
        <w:t>А.С. Лубков, Е.Н. Воскресенская, О.В. Марчукова</w:t>
      </w:r>
    </w:p>
    <w:p w:rsidR="009C665B" w:rsidRPr="009C665B" w:rsidRDefault="009C665B" w:rsidP="009C665B">
      <w:r w:rsidRPr="009C665B">
        <w:t>Институт природно-технических систем РАН, Севастополь</w:t>
      </w:r>
    </w:p>
    <w:p w:rsidR="009C665B" w:rsidRPr="009C665B" w:rsidRDefault="009C665B" w:rsidP="009C665B">
      <w:r w:rsidRPr="009C665B">
        <w:t>Работа посвящена разработке пространственно-временной объективной классификации событий Эль-Ниньо. С использованием данных о температуре поверхности океана (ТПО) из глобального массива HadSST за</w:t>
      </w:r>
      <w:r>
        <w:t xml:space="preserve"> </w:t>
      </w:r>
      <w:r w:rsidRPr="009C665B">
        <w:t>период 1870-2015 гг. с привлечением метода кластерного анализа выделено два типа событий, различающихся</w:t>
      </w:r>
      <w:r>
        <w:t xml:space="preserve"> </w:t>
      </w:r>
      <w:r w:rsidRPr="009C665B">
        <w:t>по времени начала явления и пространственной локализации аномалий ТПО в экваториальной зоне Тихого</w:t>
      </w:r>
      <w:r>
        <w:t xml:space="preserve"> </w:t>
      </w:r>
      <w:r w:rsidRPr="009C665B">
        <w:t>океана в начальную и зрелую фазы Эль-Ниньо. Описаны характерные особенности выделенных типов событий.</w:t>
      </w:r>
    </w:p>
    <w:p w:rsidR="009C665B" w:rsidRPr="009C665B" w:rsidRDefault="009C665B" w:rsidP="009C665B">
      <w:r w:rsidRPr="009C665B">
        <w:t>Ключевые слова: Эль-Ниньо, классификация, пространственно-временные особенности, Тропическая зона</w:t>
      </w:r>
      <w:r>
        <w:t xml:space="preserve"> </w:t>
      </w:r>
      <w:r w:rsidRPr="009C665B">
        <w:t>Тихого океана.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Рекреационные ресурсы и ООПТ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9C665B">
      <w:pPr>
        <w:rPr>
          <w:b/>
        </w:rPr>
      </w:pPr>
      <w:r w:rsidRPr="009C665B">
        <w:rPr>
          <w:b/>
        </w:rPr>
        <w:t>Охрана водно-болотных угодий в Западной Сибири</w:t>
      </w:r>
    </w:p>
    <w:p w:rsidR="009C665B" w:rsidRPr="009C665B" w:rsidRDefault="009C665B" w:rsidP="009C665B">
      <w:r w:rsidRPr="009C665B">
        <w:t>Н.М. Семенова, к.г.н., Томский государственный университет</w:t>
      </w:r>
    </w:p>
    <w:p w:rsidR="009C665B" w:rsidRPr="009C665B" w:rsidRDefault="009C665B" w:rsidP="009C665B">
      <w:r w:rsidRPr="009C665B">
        <w:t>Дается краткий обзор природных особенностей, условий хозяйственног</w:t>
      </w:r>
      <w:r>
        <w:t>о освоения и антропогенного пре</w:t>
      </w:r>
      <w:r w:rsidRPr="009C665B">
        <w:t>образования естественных ландшафтов Западной Сибири в связи с широким распространением болот и других</w:t>
      </w:r>
      <w:r>
        <w:t xml:space="preserve"> </w:t>
      </w:r>
      <w:r w:rsidRPr="009C665B">
        <w:t>водно-болотных угодий. Определяются проблемы и перспективы территориальной охраны природы в данном</w:t>
      </w:r>
      <w:r>
        <w:t xml:space="preserve"> </w:t>
      </w:r>
      <w:r w:rsidRPr="009C665B">
        <w:t>регионе. Рассматриваются основные направления и результаты охраны водн</w:t>
      </w:r>
      <w:r>
        <w:t>о-болотных угодий. Проведен ана</w:t>
      </w:r>
      <w:r w:rsidRPr="009C665B">
        <w:t>лиз существующей сети Рамсарских угодий в Западной Сибири. Особое вним</w:t>
      </w:r>
      <w:r>
        <w:t>ание уделяется вопросам террито</w:t>
      </w:r>
      <w:r w:rsidRPr="009C665B">
        <w:t>риальной охраны Большого Васюганского болота – уникальной водно-болотной системы северного полушария</w:t>
      </w:r>
      <w:r>
        <w:t xml:space="preserve"> </w:t>
      </w:r>
      <w:r w:rsidRPr="009C665B">
        <w:t>планеты. Рассматривается прецедент представления сильно заболоченных л</w:t>
      </w:r>
      <w:r>
        <w:t>андшафтов Западно-Сибирской рав</w:t>
      </w:r>
      <w:r w:rsidRPr="009C665B">
        <w:t>нины в перечень объектов Всемирного наследия ЮНЕСКО.</w:t>
      </w:r>
    </w:p>
    <w:p w:rsidR="009C665B" w:rsidRPr="009C665B" w:rsidRDefault="009C665B" w:rsidP="009C665B">
      <w:r w:rsidRPr="009C665B">
        <w:t>Ключевые слова: водно-болотные угодья, болота, особо охраняемые приро</w:t>
      </w:r>
      <w:r>
        <w:t>дные территории, Рамсарские уго</w:t>
      </w:r>
      <w:r w:rsidRPr="009C665B">
        <w:t>дья, объекты всемирного наследия, Западная Сибирь.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Охрана окружающей среды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9C665B">
      <w:pPr>
        <w:rPr>
          <w:b/>
        </w:rPr>
      </w:pPr>
      <w:r w:rsidRPr="009C665B">
        <w:rPr>
          <w:b/>
        </w:rPr>
        <w:t>Экологический показатель конкурентоспособности наукоемкой машиностроительной продукции</w:t>
      </w:r>
    </w:p>
    <w:p w:rsidR="009C665B" w:rsidRPr="009C665B" w:rsidRDefault="009C665B" w:rsidP="009C665B">
      <w:r w:rsidRPr="009C665B">
        <w:lastRenderedPageBreak/>
        <w:t>С.Н. Быков, к.т.н., Кемеровский государственный сельскохозяйственный институт</w:t>
      </w:r>
    </w:p>
    <w:p w:rsidR="009C665B" w:rsidRPr="009C665B" w:rsidRDefault="009C665B" w:rsidP="009C665B">
      <w:r w:rsidRPr="009C665B">
        <w:t>Разработан экспертный экологический показатель для оценки науко</w:t>
      </w:r>
      <w:r>
        <w:t>емкой машиностроительной продук</w:t>
      </w:r>
      <w:r w:rsidRPr="009C665B">
        <w:t xml:space="preserve">ции, предусматривающий количественную оценку каждой из альтернатив </w:t>
      </w:r>
      <w:r>
        <w:t>по экспертным таблицам, отражаю</w:t>
      </w:r>
      <w:r w:rsidRPr="009C665B">
        <w:t>щим различные уровни воздействия на окружающую среду процессов произв</w:t>
      </w:r>
      <w:r>
        <w:t>одства, использования и утилиза</w:t>
      </w:r>
      <w:r w:rsidRPr="009C665B">
        <w:t>ции продукции. На основе разработанного показателя проведена сравнительная оценка конкурентоспособности</w:t>
      </w:r>
      <w:r>
        <w:t xml:space="preserve"> </w:t>
      </w:r>
      <w:r w:rsidRPr="009C665B">
        <w:t>отечественных и зарубежных самоходных опрыскивателей, используемых в Сибирском регионе, исследован</w:t>
      </w:r>
      <w:r>
        <w:t xml:space="preserve"> </w:t>
      </w:r>
      <w:r w:rsidRPr="009C665B">
        <w:t>международный индекс экоэффективности. Корреляционно-регрессионный анализ показателя дает достаточно</w:t>
      </w:r>
      <w:r>
        <w:t xml:space="preserve"> </w:t>
      </w:r>
      <w:r w:rsidRPr="009C665B">
        <w:t>высокую корреляцию его значений с рангом страны-производителя по указанному индексу.</w:t>
      </w:r>
    </w:p>
    <w:p w:rsidR="009C665B" w:rsidRPr="009C665B" w:rsidRDefault="009C665B" w:rsidP="009C665B">
      <w:r w:rsidRPr="009C665B">
        <w:t>Ключевые слова: экологический показатель, оценка конкурентоспособно</w:t>
      </w:r>
      <w:r>
        <w:t>сти, наукоемкая машиностроитель</w:t>
      </w:r>
      <w:r w:rsidRPr="009C665B">
        <w:t>ная продукция, самоходный опрыскиватель, международный индекс экоэффективности, техничес</w:t>
      </w:r>
      <w:r>
        <w:t>кая характе</w:t>
      </w:r>
      <w:r w:rsidRPr="009C665B">
        <w:t>ристика, коэффициент корреляции.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9C665B">
      <w:pPr>
        <w:rPr>
          <w:b/>
        </w:rPr>
      </w:pPr>
      <w:r w:rsidRPr="009C665B">
        <w:rPr>
          <w:b/>
        </w:rPr>
        <w:t>Инновационный подход в создании индустрии переработки отходов потребления в товарное производство</w:t>
      </w:r>
    </w:p>
    <w:p w:rsidR="009C665B" w:rsidRPr="009C665B" w:rsidRDefault="009C665B" w:rsidP="009C665B">
      <w:r w:rsidRPr="009C665B">
        <w:t>Ю.В. Михайлов, д.т.н., проф., С.А. Степанов, д.пед.н., проф.</w:t>
      </w:r>
      <w:r>
        <w:t xml:space="preserve"> </w:t>
      </w:r>
    </w:p>
    <w:p w:rsidR="009C665B" w:rsidRPr="009C665B" w:rsidRDefault="009C665B" w:rsidP="009C665B">
      <w:r w:rsidRPr="009C665B">
        <w:t>Академия МНЭПУ, Москва</w:t>
      </w:r>
    </w:p>
    <w:p w:rsidR="009C665B" w:rsidRPr="009C665B" w:rsidRDefault="009C665B" w:rsidP="009C665B">
      <w:r w:rsidRPr="009C665B">
        <w:t>Рассматриваются вопросы пересмотра отношения к твердым коммунальным отходам (ТКО) и переходу</w:t>
      </w:r>
      <w:r>
        <w:t xml:space="preserve"> </w:t>
      </w:r>
      <w:r w:rsidRPr="009C665B">
        <w:t>на этой основе к их индустриальной переработке для получения товарного сырья и продукции. Предложенная</w:t>
      </w:r>
      <w:r>
        <w:t xml:space="preserve"> </w:t>
      </w:r>
      <w:r w:rsidRPr="009C665B">
        <w:t>авторами концепция «Отходы – в доходы! Москва должна стать центром культурного обращения с отходами»</w:t>
      </w:r>
      <w:r>
        <w:t xml:space="preserve"> </w:t>
      </w:r>
      <w:r w:rsidRPr="009C665B">
        <w:t>предусматривает принципиально новые подходы в привлечении населения и бизнеса к сбору, сортировке и</w:t>
      </w:r>
      <w:r>
        <w:t xml:space="preserve"> </w:t>
      </w:r>
      <w:r w:rsidRPr="009C665B">
        <w:t>перемещению ТКО в столице; переработку их в высокодоходное сырье, отк</w:t>
      </w:r>
      <w:r>
        <w:t>аз от методов захоронения на по</w:t>
      </w:r>
      <w:r w:rsidRPr="009C665B">
        <w:t>лигонах и сжигания. Предлагаются новые технологические и логистические решения в обращении с ТКО и</w:t>
      </w:r>
      <w:r>
        <w:t xml:space="preserve"> </w:t>
      </w:r>
      <w:r w:rsidRPr="009C665B">
        <w:t>использованием информационно-коммуникационных технологий.</w:t>
      </w:r>
    </w:p>
    <w:p w:rsidR="009C665B" w:rsidRPr="009C665B" w:rsidRDefault="009C665B" w:rsidP="009C665B">
      <w:r w:rsidRPr="009C665B">
        <w:t>Ключевые слова: твёрдые коммунальные отходы; инновационный подход; сбор, сортировка, перемещение;</w:t>
      </w:r>
      <w:r>
        <w:t xml:space="preserve"> </w:t>
      </w:r>
      <w:r w:rsidRPr="009C665B">
        <w:t>переработка в сырьё; полигон; сжигание; товарная продукция.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Геодезия и картография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9C665B" w:rsidRPr="009C665B" w:rsidRDefault="009C665B" w:rsidP="009C665B">
      <w:pPr>
        <w:rPr>
          <w:b/>
        </w:rPr>
      </w:pPr>
      <w:r w:rsidRPr="009C665B">
        <w:rPr>
          <w:b/>
        </w:rPr>
        <w:t>Реконструкция и верификация нормотворческой логики с использованием картографического метода исследования</w:t>
      </w:r>
    </w:p>
    <w:p w:rsidR="009C665B" w:rsidRPr="009C665B" w:rsidRDefault="009C665B" w:rsidP="009C665B">
      <w:r w:rsidRPr="009C665B">
        <w:t>Е.А. Кравец, к.т.н., Московский государственный университет геодезии и картографии</w:t>
      </w:r>
    </w:p>
    <w:p w:rsidR="009C665B" w:rsidRPr="009C665B" w:rsidRDefault="009C665B" w:rsidP="009C665B">
      <w:r w:rsidRPr="009C665B">
        <w:t>В статье с использованием методических оснований картографического метода исследования рассмотрен</w:t>
      </w:r>
      <w:r>
        <w:t xml:space="preserve"> </w:t>
      </w:r>
      <w:r w:rsidRPr="009C665B">
        <w:t>проект Постановления Правительства Российской Федерации «Об утверждении особенностей возмещения</w:t>
      </w:r>
      <w:r>
        <w:t xml:space="preserve"> </w:t>
      </w:r>
      <w:r w:rsidRPr="009C665B">
        <w:t>вреда, причиненного лесам и находящимся в них природным объектам вслед</w:t>
      </w:r>
      <w:r>
        <w:t>ствие нарушения природного зако</w:t>
      </w:r>
      <w:r w:rsidRPr="009C665B">
        <w:t xml:space="preserve">нодательства». Данный документ проанализирован в части дифференциации </w:t>
      </w:r>
      <w:r>
        <w:t>такс для исчисления размера вре</w:t>
      </w:r>
      <w:r w:rsidRPr="009C665B">
        <w:t>да, причиненного лесным насаждениям, заготовка древесины которых не допускается. Составлена карта-схема,</w:t>
      </w:r>
      <w:r>
        <w:t xml:space="preserve"> </w:t>
      </w:r>
      <w:r w:rsidRPr="009C665B">
        <w:t>проведено сравнение с действующими принципами лесного законодательств</w:t>
      </w:r>
      <w:r>
        <w:t>а и лесохозяйственного райониро</w:t>
      </w:r>
      <w:r w:rsidRPr="009C665B">
        <w:t>вания. Выявлены определенные несоответствия данным принципам и даны рекомендации по их исправлению.</w:t>
      </w:r>
    </w:p>
    <w:p w:rsidR="009C665B" w:rsidRPr="009C665B" w:rsidRDefault="009C665B" w:rsidP="009C665B">
      <w:r w:rsidRPr="009C665B">
        <w:t>Ключевые слова: картографические методы исследования, таксы, размер вреда, лесные насаждения, лесные</w:t>
      </w:r>
      <w:r>
        <w:t xml:space="preserve"> </w:t>
      </w:r>
      <w:r w:rsidRPr="009C665B">
        <w:t>районы, нормотворческая логика.</w:t>
      </w:r>
    </w:p>
    <w:p w:rsidR="009C665B" w:rsidRPr="009C665B" w:rsidRDefault="009C665B" w:rsidP="00781EDB">
      <w:pPr>
        <w:pStyle w:val="a3"/>
        <w:rPr>
          <w:iCs/>
          <w:szCs w:val="24"/>
        </w:rPr>
      </w:pPr>
    </w:p>
    <w:p w:rsid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ПРИРОДА и ОБЩЕСТВО</w:t>
      </w:r>
    </w:p>
    <w:p w:rsidR="00E81C5D" w:rsidRPr="00E81C5D" w:rsidRDefault="00E81C5D" w:rsidP="00781EDB">
      <w:pPr>
        <w:pStyle w:val="a3"/>
        <w:rPr>
          <w:b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Юбилеи</w:t>
      </w:r>
    </w:p>
    <w:p w:rsidR="00E81C5D" w:rsidRPr="00E81C5D" w:rsidRDefault="00E81C5D" w:rsidP="00781EDB">
      <w:pPr>
        <w:pStyle w:val="a3"/>
        <w:rPr>
          <w:iCs/>
          <w:szCs w:val="24"/>
        </w:rPr>
      </w:pPr>
    </w:p>
    <w:p w:rsidR="00E81C5D" w:rsidRPr="00E81C5D" w:rsidRDefault="00E81C5D" w:rsidP="00E81C5D">
      <w:pPr>
        <w:rPr>
          <w:b/>
        </w:rPr>
      </w:pPr>
      <w:r w:rsidRPr="00E81C5D">
        <w:rPr>
          <w:b/>
        </w:rPr>
        <w:lastRenderedPageBreak/>
        <w:t>Экологическое образование в Российской Федерации – путь длиной в 25 лет: история, состояние и перспективы (Окончание. Начало в бюлл. № 4 за 2016 г.)</w:t>
      </w:r>
    </w:p>
    <w:p w:rsidR="00E81C5D" w:rsidRPr="00E81C5D" w:rsidRDefault="00E81C5D" w:rsidP="00E81C5D">
      <w:r>
        <w:t>Н.Г. Рыбальский</w:t>
      </w:r>
      <w:r w:rsidRPr="00E81C5D">
        <w:rPr>
          <w:vertAlign w:val="superscript"/>
        </w:rPr>
        <w:t>1,2</w:t>
      </w:r>
      <w:r>
        <w:t>, д.б.н., проф., Е.Д. Самотёсов</w:t>
      </w:r>
      <w:r w:rsidRPr="00E81C5D">
        <w:rPr>
          <w:vertAlign w:val="superscript"/>
        </w:rPr>
        <w:t>1</w:t>
      </w:r>
      <w:r>
        <w:t>, Е.В. Колесова</w:t>
      </w:r>
      <w:r w:rsidRPr="00E81C5D">
        <w:rPr>
          <w:vertAlign w:val="superscript"/>
        </w:rPr>
        <w:t>2,3</w:t>
      </w:r>
      <w:r w:rsidRPr="00E81C5D">
        <w:t>, к.пед.н.,</w:t>
      </w:r>
      <w:r>
        <w:t xml:space="preserve"> Л.В. Попова</w:t>
      </w:r>
      <w:r w:rsidRPr="00E81C5D">
        <w:rPr>
          <w:vertAlign w:val="superscript"/>
        </w:rPr>
        <w:t>4</w:t>
      </w:r>
      <w:r>
        <w:t>, д.пед.н., С.А. Степанов</w:t>
      </w:r>
      <w:r w:rsidRPr="00E81C5D">
        <w:rPr>
          <w:vertAlign w:val="superscript"/>
        </w:rPr>
        <w:t>2,5</w:t>
      </w:r>
      <w:r w:rsidRPr="00E81C5D">
        <w:t>,</w:t>
      </w:r>
      <w:r>
        <w:t xml:space="preserve"> д.пед.н., проф., В.Р. Хрисанов</w:t>
      </w:r>
      <w:r w:rsidRPr="00E81C5D">
        <w:rPr>
          <w:vertAlign w:val="superscript"/>
        </w:rPr>
        <w:t>2,6</w:t>
      </w:r>
      <w:r w:rsidRPr="00E81C5D">
        <w:t>, к.г.н., С.А. Круглова</w:t>
      </w:r>
      <w:r w:rsidRPr="00E81C5D">
        <w:rPr>
          <w:vertAlign w:val="superscript"/>
        </w:rPr>
        <w:t>6</w:t>
      </w:r>
    </w:p>
    <w:p w:rsidR="00E81C5D" w:rsidRPr="00E81C5D" w:rsidRDefault="00E81C5D" w:rsidP="00E81C5D">
      <w:r w:rsidRPr="00E81C5D">
        <w:rPr>
          <w:vertAlign w:val="superscript"/>
        </w:rPr>
        <w:t>1</w:t>
      </w:r>
      <w:r w:rsidRPr="00E81C5D">
        <w:t>Национальное информационное агентство «Природные ресурсы» (НИА-Природа)</w:t>
      </w:r>
    </w:p>
    <w:p w:rsidR="00E81C5D" w:rsidRPr="00E81C5D" w:rsidRDefault="00E81C5D" w:rsidP="00E81C5D">
      <w:r w:rsidRPr="00E81C5D">
        <w:rPr>
          <w:vertAlign w:val="superscript"/>
        </w:rPr>
        <w:t>2</w:t>
      </w:r>
      <w:r w:rsidRPr="00E81C5D">
        <w:t>Президиум Российской экологической академии</w:t>
      </w:r>
    </w:p>
    <w:p w:rsidR="00E81C5D" w:rsidRPr="00E81C5D" w:rsidRDefault="00E81C5D" w:rsidP="00E81C5D">
      <w:r w:rsidRPr="00E81C5D">
        <w:rPr>
          <w:vertAlign w:val="superscript"/>
        </w:rPr>
        <w:t>3</w:t>
      </w:r>
      <w:r w:rsidRPr="00E81C5D">
        <w:t>Эколого просветительский центр «Воробьевы горы» (ГПБУ «Мосприрода»)</w:t>
      </w:r>
    </w:p>
    <w:p w:rsidR="00E81C5D" w:rsidRPr="00E81C5D" w:rsidRDefault="00E81C5D" w:rsidP="00E81C5D">
      <w:r w:rsidRPr="00E81C5D">
        <w:rPr>
          <w:vertAlign w:val="superscript"/>
        </w:rPr>
        <w:t>4</w:t>
      </w:r>
      <w:r w:rsidRPr="00E81C5D">
        <w:t>Музей землеведения МГУ им. М.В. Ломоносова</w:t>
      </w:r>
    </w:p>
    <w:p w:rsidR="00E81C5D" w:rsidRPr="00E81C5D" w:rsidRDefault="00E81C5D" w:rsidP="00E81C5D">
      <w:r w:rsidRPr="00E81C5D">
        <w:rPr>
          <w:vertAlign w:val="superscript"/>
        </w:rPr>
        <w:t>5</w:t>
      </w:r>
      <w:r w:rsidRPr="00E81C5D">
        <w:t>Международный независимый эколого-политологический университет (Академия МНЭПУ)</w:t>
      </w:r>
    </w:p>
    <w:p w:rsidR="00E81C5D" w:rsidRPr="00E81C5D" w:rsidRDefault="00E81C5D" w:rsidP="00E81C5D">
      <w:r w:rsidRPr="00E81C5D">
        <w:rPr>
          <w:vertAlign w:val="superscript"/>
        </w:rPr>
        <w:t>6</w:t>
      </w:r>
      <w:r w:rsidRPr="00E81C5D">
        <w:t>Институт фундаментальных проблем биологии РАН</w:t>
      </w:r>
    </w:p>
    <w:p w:rsidR="00E81C5D" w:rsidRPr="00E81C5D" w:rsidRDefault="00E81C5D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Общественность и природа</w:t>
      </w:r>
    </w:p>
    <w:p w:rsidR="00101CC5" w:rsidRPr="00101CC5" w:rsidRDefault="00101CC5" w:rsidP="00781EDB">
      <w:pPr>
        <w:pStyle w:val="a3"/>
        <w:rPr>
          <w:iCs/>
          <w:szCs w:val="24"/>
        </w:rPr>
      </w:pPr>
    </w:p>
    <w:p w:rsidR="00101CC5" w:rsidRPr="00101CC5" w:rsidRDefault="00101CC5" w:rsidP="00101CC5">
      <w:pPr>
        <w:rPr>
          <w:b/>
        </w:rPr>
      </w:pPr>
      <w:r w:rsidRPr="00101CC5">
        <w:rPr>
          <w:b/>
        </w:rPr>
        <w:t>Рациональные прогнозы и социологическая эмпирика: общество и природа</w:t>
      </w:r>
    </w:p>
    <w:p w:rsidR="00101CC5" w:rsidRPr="00101CC5" w:rsidRDefault="00101CC5" w:rsidP="00101CC5">
      <w:r w:rsidRPr="00101CC5">
        <w:t>И.А. Сосунова, д.соц.н., проф.</w:t>
      </w:r>
    </w:p>
    <w:p w:rsidR="00101CC5" w:rsidRPr="00101CC5" w:rsidRDefault="00101CC5" w:rsidP="00101CC5">
      <w:r w:rsidRPr="00101CC5">
        <w:t>Российское общество социологов, Национальное информационное агентство «Природные ресурсы»</w:t>
      </w:r>
    </w:p>
    <w:p w:rsidR="00101CC5" w:rsidRPr="00101CC5" w:rsidRDefault="00101CC5" w:rsidP="00101CC5">
      <w:r w:rsidRPr="00101CC5">
        <w:t>В статье рассматриваются актуальные проблемы изучения взаимоотн</w:t>
      </w:r>
      <w:r>
        <w:t>ошений социума и природы. Приме</w:t>
      </w:r>
      <w:r w:rsidRPr="00101CC5">
        <w:t>няется системный и междисциплинарный подходы. Раскрывается значение социально-экологических реалий,</w:t>
      </w:r>
      <w:r>
        <w:t xml:space="preserve"> </w:t>
      </w:r>
      <w:r w:rsidRPr="00101CC5">
        <w:t>их специфика в условиях современного общества.</w:t>
      </w:r>
    </w:p>
    <w:p w:rsidR="00101CC5" w:rsidRPr="00101CC5" w:rsidRDefault="00101CC5" w:rsidP="00101CC5">
      <w:r w:rsidRPr="00101CC5">
        <w:t>Ключевые слова: экология, социально-экологические реалии, антропоэкологическая система, системный</w:t>
      </w:r>
      <w:r>
        <w:t xml:space="preserve"> </w:t>
      </w:r>
      <w:r w:rsidRPr="00101CC5">
        <w:t>подход.</w:t>
      </w:r>
    </w:p>
    <w:p w:rsidR="00101CC5" w:rsidRPr="00101CC5" w:rsidRDefault="00101CC5" w:rsidP="00781EDB">
      <w:pPr>
        <w:pStyle w:val="a3"/>
        <w:rPr>
          <w:i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Календарь мероприятий</w:t>
      </w:r>
    </w:p>
    <w:p w:rsid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t xml:space="preserve">I Международный экологический форум в Крыму «Крым – эколого-экономический регион. Пространство ноосферного развития» (Севастополь, 20-24 июня 2017 г.) 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t xml:space="preserve">XII Дальневосточная конференция по заповедному делу (г. Биробиджан, 10-13 октября 2017 г.) </w:t>
      </w:r>
    </w:p>
    <w:p w:rsidR="00917A67" w:rsidRDefault="00917A67" w:rsidP="00781EDB">
      <w:pPr>
        <w:pStyle w:val="a3"/>
        <w:rPr>
          <w:b/>
          <w:bCs/>
          <w:szCs w:val="24"/>
        </w:rPr>
      </w:pPr>
    </w:p>
    <w:p w:rsidR="00781EDB" w:rsidRP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Книжная полка</w:t>
      </w:r>
    </w:p>
    <w:p w:rsidR="00917A67" w:rsidRDefault="00917A67" w:rsidP="00781EDB">
      <w:pPr>
        <w:pStyle w:val="a3"/>
        <w:rPr>
          <w:b/>
          <w:i/>
          <w:iCs/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i/>
          <w:iCs/>
          <w:szCs w:val="24"/>
        </w:rPr>
        <w:t xml:space="preserve">Ларина Т.А. </w:t>
      </w:r>
      <w:r w:rsidRPr="00917A67">
        <w:rPr>
          <w:szCs w:val="24"/>
        </w:rPr>
        <w:t xml:space="preserve">О новой монографии «Река Терек: гидрография и режим стока» из серии «Реки и озера юга России» 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i/>
          <w:iCs/>
          <w:szCs w:val="24"/>
        </w:rPr>
        <w:t xml:space="preserve">Снакин В.В. </w:t>
      </w:r>
      <w:r w:rsidRPr="00917A67">
        <w:rPr>
          <w:szCs w:val="24"/>
        </w:rPr>
        <w:t>О новом междисциплинарном научно-практическом журнале «Жизнь Земли»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t xml:space="preserve">Государственный доклад «О состоянии и об охране окружающей среды Российской Федерации в 2015 году» 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t xml:space="preserve">Доклад «Анализ выполнения задач государственной политики в области экологического развития и соответствующих Поручений Президента Российской Федерации» 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t xml:space="preserve">Государственный доклад «О состоянии и использовании водных ресурсов Российской Федерации в 2015 году» 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781EDB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t xml:space="preserve">Стат. сборник «Водные ресурсы и водное хозяйство России в 2015 году» </w:t>
      </w:r>
    </w:p>
    <w:p w:rsidR="00917A67" w:rsidRPr="00917A67" w:rsidRDefault="00917A67" w:rsidP="00781EDB">
      <w:pPr>
        <w:pStyle w:val="a3"/>
        <w:rPr>
          <w:szCs w:val="24"/>
        </w:rPr>
      </w:pPr>
    </w:p>
    <w:p w:rsidR="006F2AA2" w:rsidRPr="00917A67" w:rsidRDefault="00781EDB" w:rsidP="00781EDB">
      <w:pPr>
        <w:pStyle w:val="a3"/>
        <w:rPr>
          <w:szCs w:val="24"/>
        </w:rPr>
      </w:pPr>
      <w:r w:rsidRPr="00917A67">
        <w:rPr>
          <w:szCs w:val="24"/>
        </w:rPr>
        <w:lastRenderedPageBreak/>
        <w:t>Стат. сборник «Охрана окружающей среды в России. 2016»</w:t>
      </w:r>
    </w:p>
    <w:p w:rsidR="006F2AA2" w:rsidRDefault="006F2AA2" w:rsidP="006F2AA2"/>
    <w:p w:rsidR="006F2AA2" w:rsidRPr="00805AC9" w:rsidRDefault="006F2AA2" w:rsidP="006F2AA2"/>
    <w:p w:rsidR="00380CB3" w:rsidRDefault="00380CB3"/>
    <w:sectPr w:rsidR="00380CB3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16" w:rsidRDefault="00151216" w:rsidP="00E81C5D">
      <w:r>
        <w:separator/>
      </w:r>
    </w:p>
  </w:endnote>
  <w:endnote w:type="continuationSeparator" w:id="1">
    <w:p w:rsidR="00151216" w:rsidRDefault="00151216" w:rsidP="00E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PragmaticaC">
    <w:altName w:val="Pragmatica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135"/>
      <w:docPartObj>
        <w:docPartGallery w:val="Page Numbers (Bottom of Page)"/>
        <w:docPartUnique/>
      </w:docPartObj>
    </w:sdtPr>
    <w:sdtContent>
      <w:p w:rsidR="00E81C5D" w:rsidRDefault="00E81C5D">
        <w:pPr>
          <w:pStyle w:val="a6"/>
          <w:jc w:val="right"/>
        </w:pPr>
        <w:fldSimple w:instr=" PAGE   \* MERGEFORMAT ">
          <w:r w:rsidR="00917A67">
            <w:rPr>
              <w:noProof/>
            </w:rPr>
            <w:t>1</w:t>
          </w:r>
        </w:fldSimple>
      </w:p>
    </w:sdtContent>
  </w:sdt>
  <w:p w:rsidR="00E81C5D" w:rsidRDefault="00E81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16" w:rsidRDefault="00151216" w:rsidP="00E81C5D">
      <w:r>
        <w:separator/>
      </w:r>
    </w:p>
  </w:footnote>
  <w:footnote w:type="continuationSeparator" w:id="1">
    <w:p w:rsidR="00151216" w:rsidRDefault="00151216" w:rsidP="00E8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469A5"/>
    <w:rsid w:val="00083532"/>
    <w:rsid w:val="000A7409"/>
    <w:rsid w:val="000B18D3"/>
    <w:rsid w:val="000D066F"/>
    <w:rsid w:val="000F0BA9"/>
    <w:rsid w:val="00101CC5"/>
    <w:rsid w:val="00136980"/>
    <w:rsid w:val="00136FDF"/>
    <w:rsid w:val="001403A3"/>
    <w:rsid w:val="00144A85"/>
    <w:rsid w:val="00147517"/>
    <w:rsid w:val="001503AE"/>
    <w:rsid w:val="00151216"/>
    <w:rsid w:val="00154099"/>
    <w:rsid w:val="00166519"/>
    <w:rsid w:val="001669FB"/>
    <w:rsid w:val="0016765B"/>
    <w:rsid w:val="00176E01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1EDB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56DE9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D49FF"/>
    <w:rsid w:val="008E7344"/>
    <w:rsid w:val="008F29AB"/>
    <w:rsid w:val="00917A67"/>
    <w:rsid w:val="0092002B"/>
    <w:rsid w:val="00931238"/>
    <w:rsid w:val="0093628C"/>
    <w:rsid w:val="00947EDC"/>
    <w:rsid w:val="009766EA"/>
    <w:rsid w:val="00981BEE"/>
    <w:rsid w:val="0098588B"/>
    <w:rsid w:val="00995D0A"/>
    <w:rsid w:val="009B32EE"/>
    <w:rsid w:val="009C665B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B019EB"/>
    <w:rsid w:val="00B0784C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0D6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185A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1BF0"/>
    <w:rsid w:val="00E81C5D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1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C5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E81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E81C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9</cp:revision>
  <dcterms:created xsi:type="dcterms:W3CDTF">2017-04-10T12:29:00Z</dcterms:created>
  <dcterms:modified xsi:type="dcterms:W3CDTF">2017-04-11T09:05:00Z</dcterms:modified>
</cp:coreProperties>
</file>